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7653E0"/>
    <w:p w:rsidR="005C501E"/>
    <w:p w:rsidR="005C501E"/>
    <w:p w:rsidR="005C501E"/>
    <w:p w:rsidR="005C501E"/>
    <w:p w:rsidR="005C501E"/>
    <w:p w:rsidR="005C501E"/>
    <w:p w:rsidR="005C501E" w:rsidP="005C501E">
      <w:pPr>
        <w:jc w:val="center"/>
      </w:pPr>
      <w:r>
        <w:t xml:space="preserve">Law Analysis </w:t>
      </w:r>
    </w:p>
    <w:p w:rsidR="005C501E" w:rsidP="005C501E">
      <w:pPr>
        <w:jc w:val="center"/>
      </w:pPr>
      <w:r>
        <w:t xml:space="preserve">Author Name </w:t>
      </w:r>
    </w:p>
    <w:p w:rsidR="005C501E" w:rsidP="005C501E">
      <w:pPr>
        <w:jc w:val="center"/>
      </w:pPr>
      <w:r>
        <w:t xml:space="preserve">Institutional Affiliation </w:t>
      </w:r>
    </w:p>
    <w:p w:rsidR="005C501E" w:rsidP="005C501E">
      <w:pPr>
        <w:jc w:val="center"/>
      </w:pPr>
    </w:p>
    <w:p w:rsidR="005C501E" w:rsidP="005C501E">
      <w:pPr>
        <w:jc w:val="center"/>
      </w:pPr>
    </w:p>
    <w:p w:rsidR="005C501E" w:rsidP="005C501E">
      <w:pPr>
        <w:jc w:val="center"/>
      </w:pPr>
    </w:p>
    <w:p w:rsidR="005C501E" w:rsidP="005C501E">
      <w:pPr>
        <w:jc w:val="center"/>
      </w:pPr>
    </w:p>
    <w:p w:rsidR="005C501E" w:rsidP="005C501E">
      <w:pPr>
        <w:jc w:val="center"/>
      </w:pPr>
    </w:p>
    <w:p w:rsidR="005C501E" w:rsidP="005C501E">
      <w:pPr>
        <w:jc w:val="center"/>
      </w:pPr>
    </w:p>
    <w:p w:rsidR="005C501E" w:rsidP="005C501E"/>
    <w:p w:rsidR="005C501E" w:rsidP="005C501E"/>
    <w:p w:rsidR="005C501E" w:rsidRPr="000C5642" w:rsidP="005C501E">
      <w:pPr>
        <w:rPr>
          <w:b/>
        </w:rPr>
      </w:pPr>
      <w:r w:rsidRPr="000C5642">
        <w:rPr>
          <w:b/>
        </w:rPr>
        <w:t xml:space="preserve">Introduction </w:t>
      </w:r>
    </w:p>
    <w:p w:rsidR="003E2822" w:rsidP="005C501E">
      <w:r>
        <w:t>Landmark cases are also referred to as legal cases. Many landmark cases do exist from historical errors. Landmark cases are therefore defined as court cases that have are being studied since they are said to be of historical importance</w:t>
      </w:r>
      <w:r w:rsidR="000D1426">
        <w:t xml:space="preserve"> </w:t>
      </w:r>
      <w:r w:rsidR="000D1426">
        <w:fldChar w:fldCharType="begin"/>
      </w:r>
      <w:r w:rsidR="000D1426">
        <w:instrText xml:space="preserve"> ADDIN ZOTERO_ITEM CSL_CITATION {"citationID":"GnDzGYAd","properties":{"formattedCitation":"(\\uc0\\u8220{}Why Study Landmark Cases?,\\uc0\\u8221{} n.d.)","plainCitation":"(“Why Study Landmark Cases?,” n.d.)","noteIndex":0},"citationItems":[{"id":673,"uris":["http://zotero.org/users/local/jAIPT7SL/items/IZD7VMKE"],"uri":["http://zotero.org/users/local/jAIPT7SL/items/IZD7VMKE"],"itemData":{"id":673,"type":"post-weblog","title":"Why Study Landmark Cases? | The Judicial Learning Center","URL":"https://judiciallearningcenter.org/why-study-landmark-cases/","title-short":"Why Study Landmark Cases?","language":"en-US","accessed":{"date-parts":[["2019",11,23]]}}}],"schema":"https://github.com/citation-style-language/schema/raw/master/csl-citation.json"} </w:instrText>
      </w:r>
      <w:r w:rsidR="000D1426">
        <w:fldChar w:fldCharType="separate"/>
      </w:r>
      <w:r w:rsidRPr="000D1426" w:rsidR="000D1426">
        <w:rPr>
          <w:rFonts w:cs="Times New Roman"/>
          <w:szCs w:val="24"/>
        </w:rPr>
        <w:t>(“Why Study Landmark Cases?,” n.d.)</w:t>
      </w:r>
      <w:r w:rsidR="000D1426">
        <w:fldChar w:fldCharType="end"/>
      </w:r>
      <w:r>
        <w:t xml:space="preserve">. These cases are also legally significant. For these cases to be termed as landmark cases, they must have led to the application of the law concerning human rights. Landmark cases are significant in law since they help us understand how judicial systems work. </w:t>
      </w:r>
      <w:r w:rsidR="000C5642">
        <w:t>Understanding how the judicial system works is of great significance since we can predict any rulings made in the past and how it will be used in the future</w:t>
      </w:r>
      <w:r w:rsidR="000D1426">
        <w:t xml:space="preserve"> </w:t>
      </w:r>
      <w:r w:rsidR="000D1426">
        <w:fldChar w:fldCharType="begin"/>
      </w:r>
      <w:r w:rsidR="000D1426">
        <w:instrText xml:space="preserve"> ADDIN ZOTERO_ITEM CSL_CITATION {"citationID":"e5ZX8xRr","properties":{"formattedCitation":"(\\uc0\\u8220{}Why Study Landmark Cases?,\\uc0\\u8221{} n.d.)","plainCitation":"(“Why Study Landmark Cases?,” n.d.)","noteIndex":0},"citationItems":[{"id":673,"uris":["http://zotero.org/users/local/jAIPT7SL/items/IZD7VMKE"],"uri":["http://zotero.org/users/local/jAIPT7SL/items/IZD7VMKE"],"itemData":{"id":673,"type":"post-weblog","title":"Why Study Landmark Cases? | The Judicial Learning Center","URL":"https://judiciallearningcenter.org/why-study-landmark-cases/","title-short":"Why Study Landmark Cases?","language":"en-US","accessed":{"date-parts":[["2019",11,23]]}}}],"schema":"https://github.com/citation-style-language/schema/raw/master/csl-citation.json"} </w:instrText>
      </w:r>
      <w:r w:rsidR="000D1426">
        <w:fldChar w:fldCharType="separate"/>
      </w:r>
      <w:r w:rsidRPr="000D1426" w:rsidR="000D1426">
        <w:rPr>
          <w:rFonts w:cs="Times New Roman"/>
          <w:szCs w:val="24"/>
        </w:rPr>
        <w:t>(“Why Study Landmark Cases?,” n.d.)</w:t>
      </w:r>
      <w:r w:rsidR="000D1426">
        <w:fldChar w:fldCharType="end"/>
      </w:r>
      <w:r w:rsidR="000C5642">
        <w:t>. Landmark cases help us understand how past decisions are influencing the past and the present. Below is a discussion of two different landmark cases highlighting the background, rulings, and their implications for special education. 
</w:t>
      </w:r>
    </w:p>
    <w:p w:rsidR="000C5642" w:rsidRPr="000C5642" w:rsidP="005C501E">
      <w:pPr>
        <w:rPr>
          <w:b/>
        </w:rPr>
      </w:pPr>
      <w:r w:rsidRPr="000C5642">
        <w:rPr>
          <w:b/>
        </w:rPr>
        <w:t>Landmark case 1 
</w:t>
      </w:r>
    </w:p>
    <w:p w:rsidR="000C5642" w:rsidP="000C5642">
      <w:r>
        <w:t>B</w:t>
      </w:r>
      <w:r>
        <w:t>ackground</w:t>
      </w:r>
    </w:p>
    <w:p w:rsidR="00164C40" w:rsidP="000C5642">
      <w:r>
        <w:t xml:space="preserve">The first landmark case </w:t>
      </w:r>
      <w:r w:rsidR="00296293">
        <w:t>is a case that affirms the rights of children with disabilities. The case was to help establish the rights of the children living with disabilities to have access to public education. The court ruling was also to decide on the inclusion of children with exceptions to sharing the classrooms with the others</w:t>
      </w:r>
      <w:r w:rsidR="000D1426">
        <w:t xml:space="preserve"> </w:t>
      </w:r>
      <w:r w:rsidR="000D1426">
        <w:fldChar w:fldCharType="begin"/>
      </w:r>
      <w:r w:rsidR="000D1426">
        <w:instrText xml:space="preserve"> ADDIN ZOTERO_ITEM CSL_CITATION {"citationID":"9sFdBHCm","properties":{"formattedCitation":"(Forte &amp; Esq., 2017)","plainCitation":"(Forte &amp; Esq., 2017)","noteIndex":0},"citationItems":[{"id":670,"uris":["http://zotero.org/users/local/jAIPT7SL/items/MBFFLIN8"],"uri":["http://zotero.org/users/local/jAIPT7SL/items/MBFFLIN8"],"itemData":{"id":670,"type":"post-weblog","title":"History of Special Education: Important Landmark Cases","container-title":"Forte Law Group","abstract":"FORTE LAW GROUP PRACTICE PAPER: HISTORY OF SPECIAL EDUCATION: IMPORTANT LANDMARK CASES Abstract Historically, children with disabilities received unequal treatment in the public education system throughout the United States. During and shortly thereafter the civil rights movement of the 1950s and 1960s, many parents and advocacy groups for children with disabilities began their own movement …","URL":"http://www.fortelawgroup.com/history-special-education-important-landmark-cases/","title-short":"History of Special Education","language":"en-US","author":[{"family":"Forte","given":"Jeffrey"},{"literal":"Esq."}],"issued":{"date-parts":[["2017",10,4]]},"accessed":{"date-parts":[["2019",11,23]]}}}],"schema":"https://github.com/citation-style-language/schema/raw/master/csl-citation.json"} </w:instrText>
      </w:r>
      <w:r w:rsidR="000D1426">
        <w:fldChar w:fldCharType="separate"/>
      </w:r>
      <w:r w:rsidRPr="000D1426" w:rsidR="000D1426">
        <w:rPr>
          <w:rFonts w:cs="Times New Roman"/>
        </w:rPr>
        <w:t>(Forte &amp; Esq., 2017)</w:t>
      </w:r>
      <w:r w:rsidR="000D1426">
        <w:fldChar w:fldCharType="end"/>
      </w:r>
      <w:r w:rsidR="00296293">
        <w:t>. These rulings were in support of the minority citizens</w:t>
      </w:r>
      <w:r w:rsidR="000D1426">
        <w:t xml:space="preserve">. </w:t>
      </w:r>
    </w:p>
    <w:p w:rsidR="000C5642" w:rsidP="000C5642">
      <w:r>
        <w:t>R</w:t>
      </w:r>
      <w:r>
        <w:t>ulings</w:t>
      </w:r>
    </w:p>
    <w:p w:rsidR="00296293" w:rsidP="000C5642">
      <w:r>
        <w:t>The fi</w:t>
      </w:r>
      <w:r w:rsidR="00164C40">
        <w:t xml:space="preserve">rst ruling that was made by the court was that children with disabilities should not be excluded from school without the right procedures followed, and all schools have the </w:t>
      </w:r>
      <w:r w:rsidR="00164C40">
        <w:t>responsibility to provide education for different children. Children with different disabilities had the right to education. Thirdly, lack of funds was not an excuse for providing education to children with disabilities</w:t>
      </w:r>
      <w:r w:rsidR="000D1426">
        <w:t xml:space="preserve"> </w:t>
      </w:r>
      <w:r w:rsidR="000D1426">
        <w:fldChar w:fldCharType="begin"/>
      </w:r>
      <w:r w:rsidR="000D1426">
        <w:instrText xml:space="preserve"> ADDIN ZOTERO_ITEM CSL_CITATION {"citationID":"rKJ98gtz","properties":{"formattedCitation":"(Forte &amp; Esq., 2017)","plainCitation":"(Forte &amp; Esq., 2017)","noteIndex":0},"citationItems":[{"id":670,"uris":["http://zotero.org/users/local/jAIPT7SL/items/MBFFLIN8"],"uri":["http://zotero.org/users/local/jAIPT7SL/items/MBFFLIN8"],"itemData":{"id":670,"type":"post-weblog","title":"History of Special Education: Important Landmark Cases","container-title":"Forte Law Group","abstract":"FORTE LAW GROUP PRACTICE PAPER: HISTORY OF SPECIAL EDUCATION: IMPORTANT LANDMARK CASES Abstract Historically, children with disabilities received unequal treatment in the public education system throughout the United States. During and shortly thereafter the civil rights movement of the 1950s and 1960s, many parents and advocacy groups for children with disabilities began their own movement …","URL":"http://www.fortelawgroup.com/history-special-education-important-landmark-cases/","title-short":"History of Special Education","language":"en-US","author":[{"family":"Forte","given":"Jeffrey"},{"literal":"Esq."}],"issued":{"date-parts":[["2017",10,4]]},"accessed":{"date-parts":[["2019",11,23]]}}}],"schema":"https://github.com/citation-style-language/schema/raw/master/csl-citation.json"} </w:instrText>
      </w:r>
      <w:r w:rsidR="000D1426">
        <w:fldChar w:fldCharType="separate"/>
      </w:r>
      <w:r w:rsidRPr="000D1426" w:rsidR="000D1426">
        <w:rPr>
          <w:rFonts w:cs="Times New Roman"/>
        </w:rPr>
        <w:t>(Forte &amp; Esq., 2017)</w:t>
      </w:r>
      <w:r w:rsidR="000D1426">
        <w:fldChar w:fldCharType="end"/>
      </w:r>
      <w:r w:rsidR="00164C40">
        <w:t xml:space="preserve">. The court also ruled that no child was to be called "handicapped" without an appropriate diagnosis. Lastly, bilingual children with disabilities were to </w:t>
      </w:r>
      <w:r w:rsidR="009A05BC">
        <w:t>be evaluated and were to be provided with educational needs that respect their bilingualism</w:t>
      </w:r>
      <w:r w:rsidR="000D1426">
        <w:t xml:space="preserve"> </w:t>
      </w:r>
      <w:r w:rsidR="000D1426">
        <w:fldChar w:fldCharType="begin"/>
      </w:r>
      <w:r w:rsidR="000D1426">
        <w:instrText xml:space="preserve"> ADDIN ZOTERO_ITEM CSL_CITATION {"citationID":"NvqtoQmP","properties":{"formattedCitation":"(Forte &amp; Esq., 2017)","plainCitation":"(Forte &amp; Esq., 2017)","noteIndex":0},"citationItems":[{"id":670,"uris":["http://zotero.org/users/local/jAIPT7SL/items/MBFFLIN8"],"uri":["http://zotero.org/users/local/jAIPT7SL/items/MBFFLIN8"],"itemData":{"id":670,"type":"post-weblog","title":"History of Special Education: Important Landmark Cases","container-title":"Forte Law Group","abstract":"FORTE LAW GROUP PRACTICE PAPER: HISTORY OF SPECIAL EDUCATION: IMPORTANT LANDMARK CASES Abstract Historically, children with disabilities received unequal treatment in the public education system throughout the United States. During and shortly thereafter the civil rights movement of the 1950s and 1960s, many parents and advocacy groups for children with disabilities began their own movement …","URL":"http://www.fortelawgroup.com/history-special-education-important-landmark-cases/","title-short":"History of Special Education","language":"en-US","author":[{"family":"Forte","given":"Jeffrey"},{"literal":"Esq."}],"issued":{"date-parts":[["2017",10,4]]},"accessed":{"date-parts":[["2019",11,23]]}}}],"schema":"https://github.com/citation-style-language/schema/raw/master/csl-citation.json"} </w:instrText>
      </w:r>
      <w:r w:rsidR="000D1426">
        <w:fldChar w:fldCharType="separate"/>
      </w:r>
      <w:r w:rsidRPr="000D1426" w:rsidR="000D1426">
        <w:rPr>
          <w:rFonts w:cs="Times New Roman"/>
        </w:rPr>
        <w:t>(Forte &amp; Esq., 2017)</w:t>
      </w:r>
      <w:r w:rsidR="000D1426">
        <w:fldChar w:fldCharType="end"/>
      </w:r>
      <w:r w:rsidR="009A05BC">
        <w:t xml:space="preserve">. </w:t>
      </w:r>
    </w:p>
    <w:p w:rsidR="000C5642" w:rsidP="000C5642">
      <w:r>
        <w:t>Implications</w:t>
      </w:r>
      <w:r>
        <w:t xml:space="preserve"> for special education. 
</w:t>
      </w:r>
    </w:p>
    <w:p w:rsidR="009A05BC" w:rsidP="000C5642">
      <w:r>
        <w:t xml:space="preserve">Through the court rulings in regards to individuals with disabilities, special education was embraced in most public schools to cater to the needs of children with special needs. Special education became accessible to all. Funds to cater to special education would now be released quickly to cater to the growing demand </w:t>
      </w:r>
      <w:r w:rsidR="00E400C5">
        <w:t xml:space="preserve">for the provision of education to children with disabilities. </w:t>
      </w:r>
      <w:r>
        <w:t xml:space="preserve"> </w:t>
      </w:r>
    </w:p>
    <w:p w:rsidR="000C5642" w:rsidRPr="000C5642" w:rsidP="000C5642">
      <w:pPr>
        <w:rPr>
          <w:b/>
        </w:rPr>
      </w:pPr>
      <w:r w:rsidRPr="000C5642">
        <w:rPr>
          <w:b/>
        </w:rPr>
        <w:t>Land</w:t>
      </w:r>
      <w:r w:rsidRPr="000C5642">
        <w:rPr>
          <w:b/>
        </w:rPr>
        <w:t>mark case 2</w:t>
      </w:r>
    </w:p>
    <w:p w:rsidR="000C5642" w:rsidP="000C5642">
      <w:r>
        <w:t>Background</w:t>
      </w:r>
    </w:p>
    <w:p w:rsidR="006C061D" w:rsidP="000C5642">
      <w:r>
        <w:t>The second landmark case was about the</w:t>
      </w:r>
      <w:r>
        <w:t xml:space="preserve"> </w:t>
      </w:r>
      <w:r w:rsidR="00EF1037">
        <w:t>Pennsylvania association for retarded growth (PARC) with the commonwealth of Pennsylvania led to these decisions</w:t>
      </w:r>
      <w:r w:rsidR="000D1426">
        <w:t xml:space="preserve"> </w:t>
      </w:r>
      <w:r w:rsidR="000D1426">
        <w:fldChar w:fldCharType="begin"/>
      </w:r>
      <w:r w:rsidR="000D1426">
        <w:instrText xml:space="preserve"> ADDIN ZOTERO_ITEM CSL_CITATION {"citationID":"2Al2seNZ","properties":{"formattedCitation":"(Forte &amp; Esq., 2017)","plainCitation":"(Forte &amp; Esq., 2017)","noteIndex":0},"citationItems":[{"id":670,"uris":["http://zotero.org/users/local/jAIPT7SL/items/MBFFLIN8"],"uri":["http://zotero.org/users/local/jAIPT7SL/items/MBFFLIN8"],"itemData":{"id":670,"type":"post-weblog","title":"History of Special Education: Important Landmark Cases","container-title":"Forte Law Group","abstract":"FORTE LAW GROUP PRACTICE PAPER: HISTORY OF SPECIAL EDUCATION: IMPORTANT LANDMARK CASES Abstract Historically, children with disabilities received unequal treatment in the public education system throughout the United States. During and shortly thereafter the civil rights movement of the 1950s and 1960s, many parents and advocacy groups for children with disabilities began their own movement …","URL":"http://www.fortelawgroup.com/history-special-education-important-landmark-cases/","title-short":"History of Special Education","language":"en-US","author":[{"family":"Forte","given":"Jeffrey"},{"literal":"Esq."}],"issued":{"date-parts":[["2017",10,4]]},"accessed":{"date-parts":[["2019",11,23]]}}}],"schema":"https://github.com/citation-style-language/schema/raw/master/csl-citation.json"} </w:instrText>
      </w:r>
      <w:r w:rsidR="000D1426">
        <w:fldChar w:fldCharType="separate"/>
      </w:r>
      <w:r w:rsidRPr="000D1426" w:rsidR="000D1426">
        <w:rPr>
          <w:rFonts w:cs="Times New Roman"/>
        </w:rPr>
        <w:t>(Forte &amp; Esq., 2017)</w:t>
      </w:r>
      <w:r w:rsidR="000D1426">
        <w:fldChar w:fldCharType="end"/>
      </w:r>
      <w:r w:rsidR="00EF1037">
        <w:t>.</w:t>
      </w:r>
      <w:r>
        <w:t xml:space="preserve"> </w:t>
      </w:r>
      <w:r w:rsidR="004B09EE">
        <w:t>Court</w:t>
      </w:r>
      <w:r>
        <w:t xml:space="preserve"> decisions regarding </w:t>
      </w:r>
      <w:r w:rsidR="004B09EE">
        <w:t xml:space="preserve">the favor of children with exceptionalities were also highlighted. </w:t>
      </w:r>
      <w:r w:rsidR="0094456B">
        <w:t>The court highlighted t</w:t>
      </w:r>
      <w:r>
        <w:t>hat all children without exceptions had a right to access free education</w:t>
      </w:r>
      <w:r w:rsidR="00B23ABA">
        <w:t>. The court, therefore, played an important role in defining the rights of these children.
</w:t>
      </w:r>
    </w:p>
    <w:p w:rsidR="000C5642" w:rsidP="000C5642">
      <w:r>
        <w:t xml:space="preserve"> </w:t>
      </w:r>
      <w:r>
        <w:t>Rulings</w:t>
      </w:r>
    </w:p>
    <w:p w:rsidR="006C061D" w:rsidP="000C5642">
      <w:r>
        <w:t xml:space="preserve">The </w:t>
      </w:r>
      <w:r w:rsidR="00EF1037">
        <w:t xml:space="preserve">court ruled that children with special needs had to gain access to free and Appropriate Public Education (FAPE) as it was the right of all children in the </w:t>
      </w:r>
      <w:r>
        <w:t xml:space="preserve">Pennsylvania </w:t>
      </w:r>
      <w:r w:rsidR="00EF1037">
        <w:t xml:space="preserve">States to access free </w:t>
      </w:r>
      <w:r w:rsidR="00EF1037">
        <w:t>education</w:t>
      </w:r>
      <w:r w:rsidR="000D1426">
        <w:t xml:space="preserve"> </w:t>
      </w:r>
      <w:r w:rsidR="000D1426">
        <w:fldChar w:fldCharType="begin"/>
      </w:r>
      <w:r w:rsidR="000D1426">
        <w:instrText xml:space="preserve"> ADDIN ZOTERO_ITEM CSL_CITATION {"citationID":"Ec4O3nBN","properties":{"formattedCitation":"(Forte &amp; Esq., 2017)","plainCitation":"(Forte &amp; Esq., 2017)","noteIndex":0},"citationItems":[{"id":670,"uris":["http://zotero.org/users/local/jAIPT7SL/items/MBFFLIN8"],"uri":["http://zotero.org/users/local/jAIPT7SL/items/MBFFLIN8"],"itemData":{"id":670,"type":"post-weblog","title":"History of Special Education: Important Landmark Cases","container-title":"Forte Law Group","abstract":"FORTE LAW GROUP PRACTICE PAPER: HISTORY OF SPECIAL EDUCATION: IMPORTANT LANDMARK CASES Abstract Historically, children with disabilities received unequal treatment in the public education system throughout the United States. During and shortly thereafter the civil rights movement of the 1950s and 1960s, many parents and advocacy groups for children with disabilities began their own movement …","URL":"http://www.fortelawgroup.com/history-special-education-important-landmark-cases/","title-short":"History of Special Education","language":"en-US","author":[{"family":"Forte","given":"Jeffrey"},{"literal":"Esq."}],"issued":{"date-parts":[["2017",10,4]]},"accessed":{"date-parts":[["2019",11,23]]}}}],"schema":"https://github.com/citation-style-language/schema/raw/master/csl-citation.json"} </w:instrText>
      </w:r>
      <w:r w:rsidR="000D1426">
        <w:fldChar w:fldCharType="separate"/>
      </w:r>
      <w:r w:rsidRPr="000D1426" w:rsidR="000D1426">
        <w:rPr>
          <w:rFonts w:cs="Times New Roman"/>
        </w:rPr>
        <w:t>(Forte &amp; Esq., 2017)</w:t>
      </w:r>
      <w:r w:rsidR="000D1426">
        <w:fldChar w:fldCharType="end"/>
      </w:r>
      <w:r w:rsidR="00EF1037">
        <w:t xml:space="preserve">. The court also ruled that if anyone attempted to break the law regarding these rights, individuals were allowed to appeal in courts of law. </w:t>
      </w:r>
    </w:p>
    <w:p w:rsidR="000C5642" w:rsidP="000C5642">
      <w:r>
        <w:t>Implications for special education. 
</w:t>
      </w:r>
    </w:p>
    <w:p w:rsidR="006C061D" w:rsidP="000C5642">
      <w:r>
        <w:t>This decision has led to children with special needs to access free education without discrimination in the states of Pennsylvania. With these decisions being made by the courts, special education has been embraced in the United States, and children can have access to FAPE.
</w:t>
      </w:r>
    </w:p>
    <w:p w:rsidR="000C5642" w:rsidP="000C5642">
      <w:pPr>
        <w:rPr>
          <w:b/>
        </w:rPr>
      </w:pPr>
      <w:r w:rsidRPr="000C5642">
        <w:rPr>
          <w:b/>
        </w:rPr>
        <w:t xml:space="preserve">Conclusion </w:t>
      </w:r>
    </w:p>
    <w:p w:rsidR="006C061D" w:rsidRPr="006C061D" w:rsidP="000C5642">
      <w:r>
        <w:t xml:space="preserve">In conclusion, before the court rulings in regards to special education, </w:t>
      </w:r>
      <w:r w:rsidR="00F833A1">
        <w:t>children with special needs could not access free educations. Most of them were left at home. Through court decisions, special children with disabilities can now exercise their freedom, just like other children. Resources for special education have also been provided by the government to cater to their needs. 
</w:t>
      </w:r>
    </w:p>
    <w:p w:rsidR="006C061D" w:rsidP="000C5642">
      <w:pPr>
        <w:rPr>
          <w:b/>
        </w:rPr>
      </w:pPr>
    </w:p>
    <w:p w:rsidR="006C061D" w:rsidP="000C5642">
      <w:pPr>
        <w:rPr>
          <w:b/>
        </w:rPr>
      </w:pPr>
    </w:p>
    <w:p w:rsidR="006C061D" w:rsidP="000C5642">
      <w:pPr>
        <w:rPr>
          <w:b/>
        </w:rPr>
      </w:pPr>
    </w:p>
    <w:p w:rsidR="006C061D" w:rsidP="000C5642">
      <w:pPr>
        <w:rPr>
          <w:b/>
        </w:rPr>
      </w:pPr>
    </w:p>
    <w:p w:rsidR="006C061D" w:rsidP="000C5642">
      <w:pPr>
        <w:rPr>
          <w:b/>
        </w:rPr>
      </w:pPr>
    </w:p>
    <w:p w:rsidR="00F833A1" w:rsidP="000C5642">
      <w:pPr>
        <w:rPr>
          <w:b/>
        </w:rPr>
      </w:pPr>
    </w:p>
    <w:p w:rsidR="000D1426" w:rsidP="000C5642">
      <w:pPr>
        <w:rPr>
          <w:b/>
        </w:rPr>
      </w:pPr>
    </w:p>
    <w:p w:rsidR="006C061D" w:rsidP="000C5642">
      <w:pPr>
        <w:rPr>
          <w:b/>
        </w:rPr>
      </w:pPr>
    </w:p>
    <w:p w:rsidR="000D1426" w:rsidP="000D1426">
      <w:pPr>
        <w:jc w:val="center"/>
        <w:rPr>
          <w:b/>
        </w:rPr>
      </w:pPr>
      <w:r>
        <w:rPr>
          <w:b/>
        </w:rPr>
        <w:t xml:space="preserve">References </w:t>
      </w:r>
      <w:bookmarkStart w:id="0" w:name="_GoBack"/>
      <w:bookmarkEnd w:id="0"/>
    </w:p>
    <w:p w:rsidR="000D1426" w:rsidRPr="000D1426" w:rsidP="000D1426">
      <w:pPr>
        <w:pStyle w:val="Bibliography"/>
        <w:rPr>
          <w:rFonts w:cs="Times New Roman"/>
        </w:rPr>
      </w:pPr>
      <w:r>
        <w:rPr>
          <w:b/>
        </w:rPr>
        <w:fldChar w:fldCharType="begin"/>
      </w:r>
      <w:r>
        <w:rPr>
          <w:b/>
        </w:rPr>
        <w:instrText xml:space="preserve"> ADDIN ZOTERO_BIBL {"uncited":[],"omitted":[],"custom":[]} CSL_BIBLIOGRAPHY </w:instrText>
      </w:r>
      <w:r>
        <w:rPr>
          <w:b/>
        </w:rPr>
        <w:fldChar w:fldCharType="separate"/>
      </w:r>
      <w:r w:rsidRPr="000D1426">
        <w:rPr>
          <w:rFonts w:cs="Times New Roman"/>
        </w:rPr>
        <w:t>Forte, J., &amp; Esq. (2017, October 4). History of Special Education: Important Landmark Cases. Retrieved November 23, 2019, from Forte Law Group website: http://www.fortelawgroup.com/history-special-education-important-landmark-cases/</w:t>
      </w:r>
    </w:p>
    <w:p w:rsidR="000D1426" w:rsidRPr="000D1426" w:rsidP="000D1426">
      <w:pPr>
        <w:pStyle w:val="Bibliography"/>
        <w:rPr>
          <w:rFonts w:cs="Times New Roman"/>
        </w:rPr>
      </w:pPr>
      <w:r w:rsidRPr="000D1426">
        <w:rPr>
          <w:rFonts w:cs="Times New Roman"/>
        </w:rPr>
        <w:t>Why Study Landmark Cases? | The Judicial Learning Center. (n.d.). Retrieved November 23, 2019, from https://judiciallearningcenter.org/why-study-landmark-cases/</w:t>
      </w:r>
    </w:p>
    <w:p w:rsidR="000D1426" w:rsidP="000D1426">
      <w:pPr>
        <w:rPr>
          <w:b/>
        </w:rPr>
      </w:pPr>
      <w:r>
        <w:rPr>
          <w:b/>
        </w:rPr>
        <w:fldChar w:fldCharType="end"/>
      </w:r>
    </w:p>
    <w:p w:rsidR="000D1426" w:rsidRPr="000C5642" w:rsidP="000D1426">
      <w:pPr>
        <w:rPr>
          <w:b/>
        </w:rPr>
      </w:pPr>
    </w:p>
    <w:p w:rsidR="000C5642" w:rsidP="005C501E"/>
    <w:p w:rsidR="000C5642" w:rsidP="005C501E"/>
    <w:sectPr w:rsidSect="000C5642">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01E">
    <w:pPr>
      <w:pStyle w:val="Header"/>
      <w:jc w:val="right"/>
    </w:pPr>
    <w:r>
      <w:t xml:space="preserve"> LAW ANALYSIS</w:t>
    </w:r>
    <w:r>
      <w:tab/>
    </w:r>
    <w:r>
      <w:tab/>
    </w:r>
    <w:sdt>
      <w:sdtPr>
        <w:id w:val="4683319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D1426">
          <w:rPr>
            <w:noProof/>
          </w:rPr>
          <w:t>3</w:t>
        </w:r>
        <w:r>
          <w:rPr>
            <w:noProof/>
          </w:rPr>
          <w:fldChar w:fldCharType="end"/>
        </w:r>
      </w:sdtContent>
    </w:sdt>
  </w:p>
  <w:p w:rsidR="005C50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37303712"/>
      <w:docPartObj>
        <w:docPartGallery w:val="Page Numbers (Top of Page)"/>
        <w:docPartUnique/>
      </w:docPartObj>
    </w:sdtPr>
    <w:sdtEndPr>
      <w:rPr>
        <w:noProof/>
      </w:rPr>
    </w:sdtEndPr>
    <w:sdtContent>
      <w:p w:rsidR="005C501E" w:rsidP="005C501E">
        <w:pPr>
          <w:pStyle w:val="Header"/>
          <w:jc w:val="right"/>
        </w:pPr>
        <w:r>
          <w:t xml:space="preserve">Running head: LAW ANALYSIS </w:t>
        </w:r>
        <w:r>
          <w:tab/>
        </w:r>
        <w:r>
          <w:tab/>
        </w:r>
        <w:r>
          <w:fldChar w:fldCharType="begin"/>
        </w:r>
        <w:r>
          <w:instrText xml:space="preserve"> PAGE   \* MERGEFORMAT </w:instrText>
        </w:r>
        <w:r>
          <w:fldChar w:fldCharType="separate"/>
        </w:r>
        <w:r w:rsidR="000D1426">
          <w:rPr>
            <w:noProof/>
          </w:rPr>
          <w:t>1</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01E"/>
    <w:rsid w:val="000C5642"/>
    <w:rsid w:val="000D1426"/>
    <w:rsid w:val="00164C40"/>
    <w:rsid w:val="00296293"/>
    <w:rsid w:val="002D562D"/>
    <w:rsid w:val="003E2822"/>
    <w:rsid w:val="004B09EE"/>
    <w:rsid w:val="005C501E"/>
    <w:rsid w:val="006C061D"/>
    <w:rsid w:val="007653E0"/>
    <w:rsid w:val="0094456B"/>
    <w:rsid w:val="009A05BC"/>
    <w:rsid w:val="00B23ABA"/>
    <w:rsid w:val="00CC31B5"/>
    <w:rsid w:val="00E400C5"/>
    <w:rsid w:val="00EF1037"/>
    <w:rsid w:val="00F833A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7E0075E1-208D-47FD-AC38-AD5499735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50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501E"/>
  </w:style>
  <w:style w:type="paragraph" w:styleId="Footer">
    <w:name w:val="footer"/>
    <w:basedOn w:val="Normal"/>
    <w:link w:val="FooterChar"/>
    <w:uiPriority w:val="99"/>
    <w:unhideWhenUsed/>
    <w:rsid w:val="005C50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501E"/>
  </w:style>
  <w:style w:type="paragraph" w:styleId="Bibliography">
    <w:name w:val="Bibliography"/>
    <w:basedOn w:val="Normal"/>
    <w:next w:val="Normal"/>
    <w:uiPriority w:val="37"/>
    <w:unhideWhenUsed/>
    <w:rsid w:val="000D1426"/>
    <w:pPr>
      <w:spacing w:after="0"/>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5</Pages>
  <Words>1875</Words>
  <Characters>10689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dc:creator>
  <cp:lastModifiedBy>Rose</cp:lastModifiedBy>
  <cp:revision>3</cp:revision>
  <dcterms:created xsi:type="dcterms:W3CDTF">2019-11-23T16:06:00Z</dcterms:created>
  <dcterms:modified xsi:type="dcterms:W3CDTF">2019-11-23T18:40:00Z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zotero-version="5.0.77"&gt;&lt;session id="2iDkwFgO"/&gt;&lt;style id="http://www.zotero.org/styles/apa" locale="en-US" hasBibliography="1" bibliographyStyleHasBeenSet="1"/&gt;&lt;prefs&gt;&lt;pref name="fieldType" value="Field"/&gt;&lt;/prefs&gt;&lt;/data&gt;</vt:lpwstr>
  </property>
</Properties>
</file>